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8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9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Default="004A6BF2" w:rsidP="004A6BF2"/>
    <w:p w:rsidR="00555B8E" w:rsidRPr="00555B8E" w:rsidRDefault="00555B8E" w:rsidP="004A6BF2">
      <w:pPr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>KLASA:</w:t>
      </w:r>
      <w:r w:rsidR="00C94783">
        <w:rPr>
          <w:rFonts w:ascii="Times New Roman" w:hAnsi="Times New Roman" w:cs="Times New Roman"/>
          <w:sz w:val="24"/>
          <w:szCs w:val="24"/>
        </w:rPr>
        <w:t xml:space="preserve"> 325-09/15-01/</w:t>
      </w:r>
      <w:proofErr w:type="spellStart"/>
      <w:r w:rsidR="00C94783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555B8E" w:rsidRPr="00555B8E" w:rsidRDefault="00555B8E" w:rsidP="004A6BF2">
      <w:pPr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>URBROJ:</w:t>
      </w:r>
      <w:r w:rsidR="00C94783">
        <w:rPr>
          <w:rFonts w:ascii="Times New Roman" w:hAnsi="Times New Roman" w:cs="Times New Roman"/>
          <w:sz w:val="24"/>
          <w:szCs w:val="24"/>
        </w:rPr>
        <w:t xml:space="preserve"> 2198/31-11-15-1 </w:t>
      </w:r>
    </w:p>
    <w:p w:rsidR="00555B8E" w:rsidRPr="00555B8E" w:rsidRDefault="00555B8E" w:rsidP="004A6BF2">
      <w:pPr>
        <w:rPr>
          <w:rFonts w:ascii="Times New Roman" w:hAnsi="Times New Roman" w:cs="Times New Roman"/>
          <w:sz w:val="24"/>
          <w:szCs w:val="24"/>
        </w:rPr>
      </w:pPr>
      <w:r w:rsidRPr="00555B8E">
        <w:rPr>
          <w:rFonts w:ascii="Times New Roman" w:hAnsi="Times New Roman" w:cs="Times New Roman"/>
          <w:sz w:val="24"/>
          <w:szCs w:val="24"/>
        </w:rPr>
        <w:t>Gračac, 2</w:t>
      </w:r>
      <w:r w:rsidR="00CA2F1B">
        <w:rPr>
          <w:rFonts w:ascii="Times New Roman" w:hAnsi="Times New Roman" w:cs="Times New Roman"/>
          <w:sz w:val="24"/>
          <w:szCs w:val="24"/>
        </w:rPr>
        <w:t>9</w:t>
      </w:r>
      <w:r w:rsidRPr="00555B8E">
        <w:rPr>
          <w:rFonts w:ascii="Times New Roman" w:hAnsi="Times New Roman" w:cs="Times New Roman"/>
          <w:sz w:val="24"/>
          <w:szCs w:val="24"/>
        </w:rPr>
        <w:t>. prosinca 2015.</w:t>
      </w:r>
      <w:r w:rsidR="00634414">
        <w:rPr>
          <w:rFonts w:ascii="Times New Roman" w:hAnsi="Times New Roman" w:cs="Times New Roman"/>
          <w:sz w:val="24"/>
          <w:szCs w:val="24"/>
        </w:rPr>
        <w:t>g.</w:t>
      </w:r>
    </w:p>
    <w:p w:rsidR="004A6BF2" w:rsidRDefault="004A6BF2" w:rsidP="004A6BF2"/>
    <w:p w:rsidR="00BC0DEA" w:rsidRDefault="00BC0DEA" w:rsidP="00BC0DE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Na temelju članka 206. stavak 5. Zakona o vodama („Narodne novine“ broj 153/09.) i članka </w:t>
      </w:r>
      <w:r w:rsidR="00B80539">
        <w:rPr>
          <w:color w:val="000000"/>
        </w:rPr>
        <w:t>1. Odluke o osnivanju trgovačkog društva „Gračac vodovod i odvodnja“ d.</w:t>
      </w:r>
      <w:r w:rsidR="00C94783">
        <w:rPr>
          <w:color w:val="000000"/>
        </w:rPr>
        <w:t xml:space="preserve">o.o., Gračac, Park sv. </w:t>
      </w:r>
      <w:proofErr w:type="spellStart"/>
      <w:r w:rsidR="00C94783">
        <w:rPr>
          <w:color w:val="000000"/>
        </w:rPr>
        <w:t>Jurja</w:t>
      </w:r>
      <w:proofErr w:type="spellEnd"/>
      <w:r w:rsidR="00C94783">
        <w:rPr>
          <w:color w:val="000000"/>
        </w:rPr>
        <w:t xml:space="preserve"> 1,</w:t>
      </w:r>
      <w:r w:rsidR="00B80539">
        <w:rPr>
          <w:color w:val="000000"/>
        </w:rPr>
        <w:t>te prethodne suglasnosti op</w:t>
      </w:r>
      <w:r w:rsidR="00C94783">
        <w:rPr>
          <w:color w:val="000000"/>
        </w:rPr>
        <w:t xml:space="preserve">ćinske načelnice Općine Gračac, </w:t>
      </w:r>
      <w:r w:rsidR="00B80539">
        <w:rPr>
          <w:color w:val="000000"/>
        </w:rPr>
        <w:t>klas</w:t>
      </w:r>
      <w:r w:rsidR="00634414">
        <w:rPr>
          <w:color w:val="000000"/>
        </w:rPr>
        <w:t xml:space="preserve">a: 325-08/15-01/7, </w:t>
      </w:r>
      <w:proofErr w:type="spellStart"/>
      <w:r w:rsidR="00634414">
        <w:rPr>
          <w:color w:val="000000"/>
        </w:rPr>
        <w:t>urbroj</w:t>
      </w:r>
      <w:proofErr w:type="spellEnd"/>
      <w:r w:rsidR="00634414">
        <w:rPr>
          <w:color w:val="000000"/>
        </w:rPr>
        <w:t>: 2198/31-01-15-4 od 28.12.2015.g.</w:t>
      </w:r>
      <w:r w:rsidR="00B80539">
        <w:rPr>
          <w:color w:val="000000"/>
        </w:rPr>
        <w:t xml:space="preserve"> direktor trgovačkog društva  „Gračac vodovod i odvodnja“ d.o.o., Gračac, Park sv. </w:t>
      </w:r>
      <w:proofErr w:type="spellStart"/>
      <w:r w:rsidR="00B80539">
        <w:rPr>
          <w:color w:val="000000"/>
        </w:rPr>
        <w:t>Jurja</w:t>
      </w:r>
      <w:proofErr w:type="spellEnd"/>
      <w:r w:rsidR="00B80539">
        <w:rPr>
          <w:color w:val="000000"/>
        </w:rPr>
        <w:t xml:space="preserve"> 1, </w:t>
      </w:r>
      <w:r>
        <w:rPr>
          <w:color w:val="000000"/>
        </w:rPr>
        <w:t>donosi</w:t>
      </w:r>
    </w:p>
    <w:p w:rsidR="00BC0DEA" w:rsidRDefault="00BC0DEA" w:rsidP="00BC0DEA">
      <w:pPr>
        <w:pStyle w:val="t-9-8"/>
        <w:jc w:val="center"/>
        <w:rPr>
          <w:b/>
          <w:color w:val="000000"/>
          <w:sz w:val="28"/>
          <w:szCs w:val="28"/>
        </w:rPr>
      </w:pPr>
    </w:p>
    <w:p w:rsidR="00D64FEE" w:rsidRDefault="00D64FEE" w:rsidP="00BC0DEA">
      <w:pPr>
        <w:pStyle w:val="t-9-8"/>
        <w:jc w:val="center"/>
        <w:rPr>
          <w:b/>
          <w:color w:val="000000"/>
          <w:sz w:val="28"/>
          <w:szCs w:val="28"/>
        </w:rPr>
      </w:pPr>
    </w:p>
    <w:p w:rsidR="00D64FEE" w:rsidRDefault="00BC0DEA" w:rsidP="00D64FEE">
      <w:pPr>
        <w:pStyle w:val="t-9-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ODLUKU O CIJENI VODNIH USLUGA</w:t>
      </w:r>
    </w:p>
    <w:p w:rsidR="00BC0DEA" w:rsidRDefault="00BC0DEA" w:rsidP="00BC0DEA">
      <w:pPr>
        <w:pStyle w:val="t-9-8"/>
        <w:jc w:val="center"/>
        <w:rPr>
          <w:b/>
          <w:color w:val="000000"/>
        </w:rPr>
      </w:pPr>
      <w:r>
        <w:rPr>
          <w:b/>
          <w:color w:val="000000"/>
        </w:rPr>
        <w:t>I</w:t>
      </w:r>
    </w:p>
    <w:p w:rsidR="00BC0DEA" w:rsidRDefault="00BC0DEA" w:rsidP="00BC0DEA">
      <w:pPr>
        <w:pStyle w:val="t-9-8"/>
        <w:jc w:val="both"/>
        <w:rPr>
          <w:color w:val="000000"/>
        </w:rPr>
      </w:pPr>
      <w:r>
        <w:rPr>
          <w:color w:val="000000"/>
        </w:rPr>
        <w:t>Ovom se Odlukom</w:t>
      </w:r>
      <w:r>
        <w:rPr>
          <w:b/>
          <w:color w:val="000000"/>
        </w:rPr>
        <w:t xml:space="preserve"> </w:t>
      </w:r>
      <w:r>
        <w:rPr>
          <w:color w:val="000000"/>
        </w:rPr>
        <w:t>određuju vrste vodnih usluga koje se pružaju na vodoopskrbnom području/</w:t>
      </w:r>
      <w:proofErr w:type="spellStart"/>
      <w:r>
        <w:rPr>
          <w:color w:val="000000"/>
        </w:rPr>
        <w:t>području</w:t>
      </w:r>
      <w:proofErr w:type="spellEnd"/>
      <w:r>
        <w:rPr>
          <w:color w:val="000000"/>
        </w:rPr>
        <w:t xml:space="preserve"> aglomeracije (vodoopskrbnom području i području aglomeracije), visinu cijene (tarifa vodne usluge), način obračuna i plaćanja usluge i iskaz javnih davanja koja se obračunavaju i naplaćuju uz cijenu usluge.</w:t>
      </w:r>
    </w:p>
    <w:p w:rsidR="00BC0DEA" w:rsidRDefault="00BC0DEA" w:rsidP="00BC0DEA">
      <w:pPr>
        <w:pStyle w:val="t-9-8"/>
        <w:jc w:val="both"/>
        <w:rPr>
          <w:color w:val="000000"/>
        </w:rPr>
      </w:pPr>
    </w:p>
    <w:p w:rsidR="00BC0DEA" w:rsidRDefault="00BC0DEA" w:rsidP="00BC0DEA">
      <w:pPr>
        <w:pStyle w:val="t-9-8"/>
        <w:jc w:val="center"/>
        <w:rPr>
          <w:b/>
          <w:color w:val="000000"/>
        </w:rPr>
      </w:pPr>
      <w:r>
        <w:rPr>
          <w:b/>
          <w:color w:val="000000"/>
        </w:rPr>
        <w:t>II</w:t>
      </w:r>
    </w:p>
    <w:p w:rsidR="00BC0DEA" w:rsidRDefault="00BC0DEA" w:rsidP="00BC0DEA">
      <w:pPr>
        <w:pStyle w:val="t-9-8"/>
        <w:rPr>
          <w:color w:val="000000"/>
        </w:rPr>
      </w:pPr>
      <w:r>
        <w:rPr>
          <w:color w:val="000000"/>
        </w:rPr>
        <w:t>Na vodoopskrbnom području isporučitelja vodne us</w:t>
      </w:r>
      <w:r w:rsidR="00B80539">
        <w:rPr>
          <w:color w:val="000000"/>
        </w:rPr>
        <w:t xml:space="preserve">luge koje čine naselja općine Gračac i dijela naselja općine Lovinac </w:t>
      </w:r>
      <w:r>
        <w:rPr>
          <w:color w:val="000000"/>
        </w:rPr>
        <w:t>pružaju se vodne usluge javne vodoopskrbe.</w:t>
      </w:r>
    </w:p>
    <w:p w:rsidR="00BC0DEA" w:rsidRDefault="00BC0DEA" w:rsidP="00BC0DEA">
      <w:pPr>
        <w:pStyle w:val="t-9-8"/>
        <w:rPr>
          <w:color w:val="000000"/>
        </w:rPr>
      </w:pPr>
      <w:r>
        <w:rPr>
          <w:color w:val="000000"/>
        </w:rPr>
        <w:t>Na području aglomeracije isporučitelja vodne usluge ko</w:t>
      </w:r>
      <w:r w:rsidR="00B80539">
        <w:rPr>
          <w:color w:val="000000"/>
        </w:rPr>
        <w:t xml:space="preserve">je čine naselja općine Gračac </w:t>
      </w:r>
      <w:r>
        <w:rPr>
          <w:color w:val="000000"/>
        </w:rPr>
        <w:t xml:space="preserve">pružaju se vodne usluge javne odvodnje </w:t>
      </w:r>
      <w:r w:rsidR="00B80539">
        <w:rPr>
          <w:color w:val="000000"/>
        </w:rPr>
        <w:t>sa uslugom</w:t>
      </w:r>
      <w:r>
        <w:rPr>
          <w:color w:val="000000"/>
        </w:rPr>
        <w:t xml:space="preserve"> crpljenja i odvoza otpadnih voda iz sabirnih i septičkih jama.</w:t>
      </w:r>
    </w:p>
    <w:p w:rsidR="00B80539" w:rsidRDefault="00B80539" w:rsidP="00BC0DEA">
      <w:pPr>
        <w:jc w:val="center"/>
        <w:rPr>
          <w:b/>
        </w:rPr>
      </w:pPr>
    </w:p>
    <w:p w:rsidR="00B80539" w:rsidRDefault="00B80539" w:rsidP="00BC0DEA">
      <w:pPr>
        <w:jc w:val="center"/>
        <w:rPr>
          <w:b/>
        </w:rPr>
      </w:pPr>
    </w:p>
    <w:p w:rsidR="00B80539" w:rsidRDefault="00B80539" w:rsidP="00BC0DEA">
      <w:pPr>
        <w:jc w:val="center"/>
        <w:rPr>
          <w:b/>
        </w:rPr>
      </w:pPr>
    </w:p>
    <w:p w:rsidR="00B80539" w:rsidRDefault="00B80539" w:rsidP="00BC0DEA">
      <w:pPr>
        <w:jc w:val="center"/>
        <w:rPr>
          <w:b/>
        </w:rPr>
      </w:pPr>
    </w:p>
    <w:p w:rsidR="00B80539" w:rsidRDefault="00B80539" w:rsidP="00BC0DEA">
      <w:pPr>
        <w:jc w:val="center"/>
        <w:rPr>
          <w:b/>
        </w:rPr>
      </w:pPr>
    </w:p>
    <w:p w:rsidR="00B80539" w:rsidRDefault="00B80539" w:rsidP="00BC0DEA">
      <w:pPr>
        <w:jc w:val="center"/>
        <w:rPr>
          <w:b/>
        </w:rPr>
      </w:pPr>
    </w:p>
    <w:p w:rsidR="00B80539" w:rsidRDefault="00B80539" w:rsidP="00D64FEE">
      <w:pPr>
        <w:rPr>
          <w:b/>
        </w:rPr>
      </w:pPr>
    </w:p>
    <w:p w:rsidR="00B80539" w:rsidRDefault="00B80539" w:rsidP="00BC0DEA">
      <w:pPr>
        <w:jc w:val="center"/>
        <w:rPr>
          <w:b/>
        </w:rPr>
      </w:pPr>
    </w:p>
    <w:p w:rsidR="00B80539" w:rsidRPr="00B80539" w:rsidRDefault="00B80539" w:rsidP="00BC0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539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</w:p>
    <w:p w:rsidR="00B80539" w:rsidRPr="00B80539" w:rsidRDefault="00B80539" w:rsidP="00B80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39">
        <w:rPr>
          <w:rFonts w:ascii="Times New Roman" w:hAnsi="Times New Roman" w:cs="Times New Roman"/>
          <w:b/>
          <w:sz w:val="28"/>
          <w:szCs w:val="28"/>
        </w:rPr>
        <w:t>CIJENA VODNIH USLUGA</w:t>
      </w:r>
    </w:p>
    <w:p w:rsidR="00B80539" w:rsidRPr="00B80539" w:rsidRDefault="00B80539" w:rsidP="00B80539">
      <w:pPr>
        <w:tabs>
          <w:tab w:val="left" w:pos="3075"/>
        </w:tabs>
        <w:jc w:val="center"/>
        <w:rPr>
          <w:rFonts w:ascii="Times New Roman" w:hAnsi="Times New Roman" w:cs="Times New Roman"/>
          <w:b/>
          <w:i/>
        </w:rPr>
      </w:pPr>
      <w:r w:rsidRPr="00B80539">
        <w:rPr>
          <w:rFonts w:ascii="Times New Roman" w:hAnsi="Times New Roman" w:cs="Times New Roman"/>
          <w:b/>
          <w:i/>
        </w:rPr>
        <w:t>Od 01. siječnja 2016.g</w:t>
      </w:r>
    </w:p>
    <w:tbl>
      <w:tblPr>
        <w:tblStyle w:val="Reetkatablice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B80539" w:rsidRPr="00B80539" w:rsidTr="004A32F2">
        <w:trPr>
          <w:trHeight w:val="428"/>
        </w:trPr>
        <w:tc>
          <w:tcPr>
            <w:tcW w:w="2322" w:type="dxa"/>
            <w:vMerge w:val="restart"/>
            <w:shd w:val="clear" w:color="auto" w:fill="8DB3E2" w:themeFill="text2" w:themeFillTint="66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Struktura cijena</w:t>
            </w:r>
          </w:p>
        </w:tc>
        <w:tc>
          <w:tcPr>
            <w:tcW w:w="4644" w:type="dxa"/>
            <w:gridSpan w:val="2"/>
            <w:shd w:val="clear" w:color="auto" w:fill="8DB3E2" w:themeFill="text2" w:themeFillTint="66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STAMBENI PROSTOR</w:t>
            </w:r>
          </w:p>
        </w:tc>
        <w:tc>
          <w:tcPr>
            <w:tcW w:w="2322" w:type="dxa"/>
            <w:vMerge w:val="restart"/>
            <w:shd w:val="clear" w:color="auto" w:fill="8DB3E2" w:themeFill="text2" w:themeFillTint="66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Poslovni prostori</w:t>
            </w:r>
          </w:p>
        </w:tc>
      </w:tr>
      <w:tr w:rsidR="00B80539" w:rsidRPr="00B80539" w:rsidTr="004A32F2">
        <w:trPr>
          <w:trHeight w:val="546"/>
        </w:trPr>
        <w:tc>
          <w:tcPr>
            <w:tcW w:w="2322" w:type="dxa"/>
            <w:vMerge/>
            <w:shd w:val="clear" w:color="auto" w:fill="8DB3E2" w:themeFill="text2" w:themeFillTint="66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8DB3E2" w:themeFill="text2" w:themeFillTint="66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redovni</w:t>
            </w:r>
          </w:p>
        </w:tc>
        <w:tc>
          <w:tcPr>
            <w:tcW w:w="2322" w:type="dxa"/>
            <w:shd w:val="clear" w:color="auto" w:fill="8DB3E2" w:themeFill="text2" w:themeFillTint="66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kućanstva</w:t>
            </w: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socijalno ugroženi</w:t>
            </w:r>
          </w:p>
        </w:tc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Fiksni dio</w:t>
            </w: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 osnovne cijene javne vodoopskrbe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32,50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Fiksni dio</w:t>
            </w: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 osnovne cijene javne odvodnje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PDV (13%)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Osnovna cijene usluge javne 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vodoopskrbe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PDV (13%)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Osnovna cijena usluge javne 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odvodnje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PDV (13%)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Cijena crpljenja i odvoza otpadnih voda iz septičkih i sabirnih jama po m</w:t>
            </w:r>
            <w:r w:rsidRPr="00B805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PDV (25%)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Naknada za 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korištenje voda</w:t>
            </w: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 (NN 10/2014)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Naknada za 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zaštitu voda</w:t>
            </w: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 xml:space="preserve"> (NN10/2014)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B80539" w:rsidRPr="00B80539" w:rsidTr="004A32F2">
        <w:trPr>
          <w:trHeight w:val="685"/>
        </w:trPr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Naknada za razvoj - vodoopskrba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0539" w:rsidRPr="00B80539" w:rsidTr="004A32F2"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Naknada za razvoj - odvodnja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2" w:type="dxa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0539" w:rsidRPr="00B80539" w:rsidTr="004A32F2">
        <w:tc>
          <w:tcPr>
            <w:tcW w:w="2322" w:type="dxa"/>
            <w:vMerge w:val="restart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  <w:p w:rsidR="00B80539" w:rsidRPr="00B80539" w:rsidRDefault="00B80539" w:rsidP="00B8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vodoopskrba i odvodnja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Fiksno mjesečno 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Fiksno mjesečno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Fiksno mjesečno</w:t>
            </w:r>
          </w:p>
        </w:tc>
      </w:tr>
      <w:tr w:rsidR="00B80539" w:rsidRPr="00B80539" w:rsidTr="004A32F2"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39,55kn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23,73kn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51,42kn</w:t>
            </w:r>
          </w:p>
        </w:tc>
      </w:tr>
      <w:tr w:rsidR="00B80539" w:rsidRPr="00B80539" w:rsidTr="004A32F2"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 potrošeni m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 potrošeni m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 potrošeni m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80539" w:rsidRPr="00B80539" w:rsidTr="004A32F2"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11,27kn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8,47kn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13,62kn</w:t>
            </w:r>
          </w:p>
        </w:tc>
      </w:tr>
      <w:tr w:rsidR="00B80539" w:rsidRPr="00B80539" w:rsidTr="004A32F2">
        <w:tc>
          <w:tcPr>
            <w:tcW w:w="2322" w:type="dxa"/>
            <w:vMerge w:val="restart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39" w:rsidRPr="00B80539" w:rsidRDefault="00B80539" w:rsidP="00B8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  <w:p w:rsidR="00B80539" w:rsidRPr="00B80539" w:rsidRDefault="00B80539" w:rsidP="00B805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vodoopskrba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Fiksno mjesečno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Fiksno mjesečno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Fiksno mjesečno</w:t>
            </w:r>
          </w:p>
        </w:tc>
      </w:tr>
      <w:tr w:rsidR="00B80539" w:rsidRPr="00B80539" w:rsidTr="004A32F2"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28,25kn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16,95kn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36,72kn</w:t>
            </w:r>
          </w:p>
        </w:tc>
      </w:tr>
      <w:tr w:rsidR="00B80539" w:rsidRPr="00B80539" w:rsidTr="004A32F2"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 potrošeni m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 potrošeni m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2" w:type="dxa"/>
            <w:shd w:val="clear" w:color="auto" w:fill="C6D9F1" w:themeFill="text2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Za potrošeni m</w:t>
            </w:r>
            <w:r w:rsidRPr="00B8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B80539" w:rsidRPr="00B80539" w:rsidTr="004A32F2">
        <w:tc>
          <w:tcPr>
            <w:tcW w:w="2322" w:type="dxa"/>
            <w:vMerge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10,14kn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7,77kn</w:t>
            </w:r>
          </w:p>
        </w:tc>
        <w:tc>
          <w:tcPr>
            <w:tcW w:w="2322" w:type="dxa"/>
            <w:shd w:val="clear" w:color="auto" w:fill="FDE9D9" w:themeFill="accent6" w:themeFillTint="33"/>
          </w:tcPr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539" w:rsidRPr="00B80539" w:rsidRDefault="00B80539" w:rsidP="00B80539">
            <w:pPr>
              <w:tabs>
                <w:tab w:val="left" w:pos="1440"/>
                <w:tab w:val="left" w:pos="6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539">
              <w:rPr>
                <w:rFonts w:ascii="Times New Roman" w:hAnsi="Times New Roman" w:cs="Times New Roman"/>
                <w:b/>
                <w:sz w:val="24"/>
                <w:szCs w:val="24"/>
              </w:rPr>
              <w:t>11,93kn</w:t>
            </w:r>
          </w:p>
        </w:tc>
      </w:tr>
    </w:tbl>
    <w:p w:rsidR="00B80539" w:rsidRDefault="00B80539" w:rsidP="00BC0DEA">
      <w:pPr>
        <w:jc w:val="center"/>
        <w:rPr>
          <w:b/>
        </w:rPr>
      </w:pPr>
    </w:p>
    <w:p w:rsidR="00B80539" w:rsidRDefault="00B80539" w:rsidP="00CD7CD0">
      <w:pPr>
        <w:rPr>
          <w:b/>
        </w:rPr>
      </w:pPr>
    </w:p>
    <w:p w:rsidR="00BC0DEA" w:rsidRPr="00CD7CD0" w:rsidRDefault="00BC0DEA" w:rsidP="00BC0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CD0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</w:p>
    <w:p w:rsidR="00BC0DEA" w:rsidRDefault="00BC0DEA" w:rsidP="00BC0DEA"/>
    <w:p w:rsidR="00CD7CD0" w:rsidRPr="00CD7CD0" w:rsidRDefault="00CD7CD0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 w:rsidRPr="00CD7CD0">
        <w:rPr>
          <w:rFonts w:ascii="Times New Roman" w:hAnsi="Times New Roman" w:cs="Times New Roman"/>
          <w:sz w:val="24"/>
          <w:szCs w:val="24"/>
        </w:rPr>
        <w:t>Potrošačima, domaćinstvima i pravnim osobama kod kojih još nisu ugrađeni vodomjeri ili iz razloga tehničke neispravnosti vodomjera, potrošnja vode će se obračunavati na osnovu paušala do ugradnje ili popravke vodomjera.</w:t>
      </w:r>
    </w:p>
    <w:p w:rsidR="00CD7CD0" w:rsidRPr="00CD7CD0" w:rsidRDefault="00CD7CD0" w:rsidP="00BC0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CD0" w:rsidRPr="00CD7CD0" w:rsidRDefault="00CD7CD0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 w:rsidRPr="00CD7CD0">
        <w:rPr>
          <w:rFonts w:ascii="Times New Roman" w:hAnsi="Times New Roman" w:cs="Times New Roman"/>
          <w:sz w:val="24"/>
          <w:szCs w:val="24"/>
        </w:rPr>
        <w:t>Domaćinstva (m</w:t>
      </w:r>
      <w:r w:rsidRPr="00CD7C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7CD0">
        <w:rPr>
          <w:rFonts w:ascii="Times New Roman" w:hAnsi="Times New Roman" w:cs="Times New Roman"/>
          <w:sz w:val="24"/>
          <w:szCs w:val="24"/>
        </w:rPr>
        <w:t>/mjesečno po članu d</w:t>
      </w:r>
      <w:r>
        <w:rPr>
          <w:rFonts w:ascii="Times New Roman" w:hAnsi="Times New Roman" w:cs="Times New Roman"/>
          <w:sz w:val="24"/>
          <w:szCs w:val="24"/>
        </w:rPr>
        <w:t>omaćinstva) ..................</w:t>
      </w:r>
      <w:r w:rsidRPr="00CD7CD0">
        <w:rPr>
          <w:rFonts w:ascii="Times New Roman" w:hAnsi="Times New Roman" w:cs="Times New Roman"/>
          <w:sz w:val="24"/>
          <w:szCs w:val="24"/>
        </w:rPr>
        <w:t>.......................................5,0 m</w:t>
      </w:r>
      <w:r w:rsidRPr="00CD7CD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D7CD0" w:rsidRPr="00CD7CD0" w:rsidRDefault="00CD7CD0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 w:rsidRPr="00CD7CD0">
        <w:rPr>
          <w:rFonts w:ascii="Times New Roman" w:hAnsi="Times New Roman" w:cs="Times New Roman"/>
          <w:sz w:val="24"/>
          <w:szCs w:val="24"/>
        </w:rPr>
        <w:t>Pravne osobe (m</w:t>
      </w:r>
      <w:r w:rsidRPr="00CD7CD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D7CD0">
        <w:rPr>
          <w:rFonts w:ascii="Times New Roman" w:hAnsi="Times New Roman" w:cs="Times New Roman"/>
          <w:sz w:val="24"/>
          <w:szCs w:val="24"/>
        </w:rPr>
        <w:t>/mjesečno po članu) ..............................................................................5,0 m</w:t>
      </w:r>
      <w:r w:rsidRPr="00CD7CD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D7CD0" w:rsidRDefault="00CD7CD0" w:rsidP="00BC0DEA">
      <w:pPr>
        <w:jc w:val="both"/>
      </w:pPr>
    </w:p>
    <w:p w:rsidR="007E434D" w:rsidRDefault="007E434D" w:rsidP="00BC0DEA">
      <w:pPr>
        <w:jc w:val="both"/>
      </w:pPr>
    </w:p>
    <w:p w:rsidR="00CD7CD0" w:rsidRDefault="00D64FEE" w:rsidP="00CD7CD0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D64FEE" w:rsidRPr="007E434D" w:rsidRDefault="00D64FEE" w:rsidP="00CD7CD0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DEA" w:rsidRPr="007E434D" w:rsidRDefault="00BC0DEA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 w:rsidRPr="007E434D">
        <w:rPr>
          <w:rFonts w:ascii="Times New Roman" w:hAnsi="Times New Roman" w:cs="Times New Roman"/>
          <w:sz w:val="24"/>
          <w:szCs w:val="24"/>
        </w:rPr>
        <w:t>Korisnicima vodnih usluga javne vodoopskrbe cijena vodne usluge javne vodoopskrbe obračunava se prema isporučenoj količini vode očitanoj na glavnom vodomjeru mjesečno/višemjesečno.</w:t>
      </w:r>
    </w:p>
    <w:p w:rsidR="00BC0DEA" w:rsidRPr="007E434D" w:rsidRDefault="00BC0DEA" w:rsidP="00BC0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DEA" w:rsidRPr="007E434D" w:rsidRDefault="00BC0DEA" w:rsidP="00CD7C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34D">
        <w:rPr>
          <w:rFonts w:ascii="Times New Roman" w:hAnsi="Times New Roman" w:cs="Times New Roman"/>
          <w:sz w:val="24"/>
          <w:szCs w:val="24"/>
        </w:rPr>
        <w:t xml:space="preserve">Korisnicima vodnih usluga javne vodoopskrbe u zajedničkim prostorijama zgrade sa više posebnih dijelova nekretnine – cijena vodne usluge obračunava se tako da se </w:t>
      </w:r>
      <w:r w:rsidR="00CD7CD0" w:rsidRPr="007E434D">
        <w:rPr>
          <w:rFonts w:ascii="Times New Roman" w:hAnsi="Times New Roman" w:cs="Times New Roman"/>
          <w:sz w:val="24"/>
          <w:szCs w:val="24"/>
        </w:rPr>
        <w:t>potrošnja utvrđena na glavnom vodomjeru dijeli n</w:t>
      </w:r>
      <w:r w:rsidR="007E434D" w:rsidRPr="007E434D">
        <w:rPr>
          <w:rFonts w:ascii="Times New Roman" w:hAnsi="Times New Roman" w:cs="Times New Roman"/>
          <w:sz w:val="24"/>
          <w:szCs w:val="24"/>
        </w:rPr>
        <w:t>a ukupan broj stanara zgrade ili na način ako je ugrađen interni vodomjer zasebno za svaki stan, potrošnja se obračunava po očitanju sa internih vodomjera, a ukoliko postoji razlika u očitanju zbroja internih vodomjera i očitanju na glavnom vodomjeru tada se ta razlika dijeli na ukupan broj korisnika u zgradi.</w:t>
      </w:r>
    </w:p>
    <w:p w:rsidR="007E434D" w:rsidRDefault="007E434D" w:rsidP="00BC0DEA">
      <w:pPr>
        <w:jc w:val="center"/>
        <w:rPr>
          <w:b/>
        </w:rPr>
      </w:pPr>
    </w:p>
    <w:p w:rsidR="00D64FEE" w:rsidRDefault="00D64FEE" w:rsidP="00BC0DEA">
      <w:pPr>
        <w:jc w:val="center"/>
        <w:rPr>
          <w:b/>
        </w:rPr>
      </w:pPr>
    </w:p>
    <w:p w:rsidR="00BC0DEA" w:rsidRPr="00D64FEE" w:rsidRDefault="00BC0DEA" w:rsidP="00BC0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EE">
        <w:rPr>
          <w:rFonts w:ascii="Times New Roman" w:hAnsi="Times New Roman" w:cs="Times New Roman"/>
          <w:b/>
          <w:sz w:val="24"/>
          <w:szCs w:val="24"/>
        </w:rPr>
        <w:t>V</w:t>
      </w:r>
      <w:r w:rsidR="00E71EF9" w:rsidRPr="00D64FEE">
        <w:rPr>
          <w:rFonts w:ascii="Times New Roman" w:hAnsi="Times New Roman" w:cs="Times New Roman"/>
          <w:b/>
          <w:sz w:val="24"/>
          <w:szCs w:val="24"/>
        </w:rPr>
        <w:t>I</w:t>
      </w:r>
    </w:p>
    <w:p w:rsidR="00BC0DEA" w:rsidRDefault="00BC0DEA" w:rsidP="00BC0DEA">
      <w:pPr>
        <w:jc w:val="both"/>
      </w:pPr>
    </w:p>
    <w:p w:rsidR="00BC0DEA" w:rsidRPr="00E71EF9" w:rsidRDefault="00BC0DEA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 w:rsidRPr="00E71EF9">
        <w:rPr>
          <w:rFonts w:ascii="Times New Roman" w:hAnsi="Times New Roman" w:cs="Times New Roman"/>
          <w:sz w:val="24"/>
          <w:szCs w:val="24"/>
        </w:rPr>
        <w:t>Korisnicima vodnih usluga javne odvodnje</w:t>
      </w:r>
      <w:r w:rsidR="007E434D" w:rsidRPr="00E71EF9">
        <w:rPr>
          <w:rFonts w:ascii="Times New Roman" w:hAnsi="Times New Roman" w:cs="Times New Roman"/>
          <w:sz w:val="24"/>
          <w:szCs w:val="24"/>
        </w:rPr>
        <w:t xml:space="preserve"> na području aglomeracije – teritorijalno područje općine Gračac, priključeni na ko</w:t>
      </w:r>
      <w:r w:rsidR="00E71EF9" w:rsidRPr="00E71EF9">
        <w:rPr>
          <w:rFonts w:ascii="Times New Roman" w:hAnsi="Times New Roman" w:cs="Times New Roman"/>
          <w:sz w:val="24"/>
          <w:szCs w:val="24"/>
        </w:rPr>
        <w:t xml:space="preserve">munalne vodne građevine javne odvodnje, osnovica za obračun naknade za zaštitu voda je količina (prostorni metar) ispuštene otpadne vode. </w:t>
      </w:r>
    </w:p>
    <w:p w:rsidR="00BC0DEA" w:rsidRDefault="00BC0DEA" w:rsidP="00BC0DEA">
      <w:pPr>
        <w:jc w:val="both"/>
      </w:pPr>
    </w:p>
    <w:p w:rsidR="00E71EF9" w:rsidRDefault="00E71EF9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 w:rsidRPr="00E71EF9">
        <w:rPr>
          <w:rFonts w:ascii="Times New Roman" w:hAnsi="Times New Roman" w:cs="Times New Roman"/>
          <w:sz w:val="24"/>
          <w:szCs w:val="24"/>
        </w:rPr>
        <w:t>Pošto u sustavu javne odvodnje općine Gračac ne postoje mjerači protoka, smatra se da je količina ispuštene otpadne vode jednaka količini isporučene vode obvezniku.</w:t>
      </w:r>
    </w:p>
    <w:p w:rsidR="00E71EF9" w:rsidRDefault="00E71EF9" w:rsidP="00BC0D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EF9" w:rsidRPr="00E71EF9" w:rsidRDefault="00E71EF9" w:rsidP="00BC0D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Korisnicima vodnih usluga javne odvodnje iz stavka 2. ove točke kojima je Pravilnikom o obračunavanju i plaćanju naknade za zaštitu voda (NN br.83/2010) propisan fiksni gubitak – isti će se primijeniti na količine obračunate prema stavku 2. ove točke.</w:t>
      </w:r>
    </w:p>
    <w:p w:rsidR="00BC0DEA" w:rsidRDefault="00BC0DEA" w:rsidP="00BC0DEA">
      <w:pPr>
        <w:jc w:val="both"/>
      </w:pPr>
    </w:p>
    <w:tbl>
      <w:tblPr>
        <w:tblW w:w="456" w:type="dxa"/>
        <w:tblLook w:val="01E0" w:firstRow="1" w:lastRow="1" w:firstColumn="1" w:lastColumn="1" w:noHBand="0" w:noVBand="0"/>
      </w:tblPr>
      <w:tblGrid>
        <w:gridCol w:w="456"/>
      </w:tblGrid>
      <w:tr w:rsidR="00E71EF9" w:rsidTr="00E71EF9">
        <w:trPr>
          <w:trHeight w:val="176"/>
        </w:trPr>
        <w:tc>
          <w:tcPr>
            <w:tcW w:w="456" w:type="dxa"/>
            <w:hideMark/>
          </w:tcPr>
          <w:p w:rsidR="00E71EF9" w:rsidRDefault="00E71EF9" w:rsidP="00E71EF9">
            <w:pPr>
              <w:pStyle w:val="t-9-8"/>
              <w:rPr>
                <w:color w:val="000000"/>
              </w:rPr>
            </w:pPr>
          </w:p>
        </w:tc>
      </w:tr>
      <w:tr w:rsidR="00E71EF9" w:rsidTr="00E71EF9">
        <w:tc>
          <w:tcPr>
            <w:tcW w:w="456" w:type="dxa"/>
            <w:hideMark/>
          </w:tcPr>
          <w:p w:rsidR="00E71EF9" w:rsidRDefault="00E71EF9" w:rsidP="00E71EF9">
            <w:pPr>
              <w:pStyle w:val="t-9-8"/>
              <w:rPr>
                <w:color w:val="000000"/>
              </w:rPr>
            </w:pPr>
          </w:p>
        </w:tc>
      </w:tr>
    </w:tbl>
    <w:p w:rsidR="00BC0DEA" w:rsidRDefault="00BC0DEA" w:rsidP="00BC0DEA">
      <w:pPr>
        <w:jc w:val="both"/>
      </w:pPr>
    </w:p>
    <w:p w:rsidR="00BC0DEA" w:rsidRPr="00D64FEE" w:rsidRDefault="00BC0DEA" w:rsidP="00BC0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FEE">
        <w:rPr>
          <w:rFonts w:ascii="Times New Roman" w:hAnsi="Times New Roman" w:cs="Times New Roman"/>
          <w:b/>
          <w:sz w:val="24"/>
          <w:szCs w:val="24"/>
        </w:rPr>
        <w:t>VI</w:t>
      </w:r>
      <w:r w:rsidR="00E71EF9" w:rsidRPr="00D64FEE">
        <w:rPr>
          <w:rFonts w:ascii="Times New Roman" w:hAnsi="Times New Roman" w:cs="Times New Roman"/>
          <w:b/>
          <w:sz w:val="24"/>
          <w:szCs w:val="24"/>
        </w:rPr>
        <w:t>I</w:t>
      </w:r>
    </w:p>
    <w:p w:rsidR="00BC0DEA" w:rsidRDefault="00BC0DEA" w:rsidP="00BC0DEA">
      <w:pPr>
        <w:pStyle w:val="t-9-8"/>
        <w:jc w:val="both"/>
        <w:rPr>
          <w:color w:val="000000"/>
        </w:rPr>
      </w:pPr>
      <w:r>
        <w:rPr>
          <w:color w:val="000000"/>
        </w:rPr>
        <w:t>Količina vode nužne za osnovn</w:t>
      </w:r>
      <w:r w:rsidR="00E71EF9">
        <w:rPr>
          <w:color w:val="000000"/>
        </w:rPr>
        <w:t xml:space="preserve">e potrebe kućanstva iznosi 100 </w:t>
      </w:r>
      <w:r>
        <w:rPr>
          <w:color w:val="000000"/>
        </w:rPr>
        <w:t>litara/dnevno po članu kućanstva.</w:t>
      </w:r>
    </w:p>
    <w:p w:rsidR="00BC0DEA" w:rsidRDefault="00BC0DEA" w:rsidP="00BC0DEA">
      <w:pPr>
        <w:pStyle w:val="t-9-8"/>
        <w:jc w:val="both"/>
        <w:rPr>
          <w:color w:val="000000"/>
        </w:rPr>
      </w:pPr>
      <w:r>
        <w:rPr>
          <w:color w:val="000000"/>
        </w:rPr>
        <w:t>Pod kućanstvom se podrazumijevaju sve fizičke osobe koje dijele isti stambeni prostor.</w:t>
      </w:r>
    </w:p>
    <w:p w:rsidR="00BC0DEA" w:rsidRDefault="00BC0DEA" w:rsidP="00BC0DEA">
      <w:pPr>
        <w:pStyle w:val="t-9-8"/>
        <w:jc w:val="both"/>
      </w:pPr>
      <w:r>
        <w:t>Pod socijalno ugroženim građanima smatraju se osobe koje svojim aktom utvrdi jedinica lokalne samouprave.</w:t>
      </w:r>
    </w:p>
    <w:p w:rsidR="00D64FEE" w:rsidRDefault="00D64FEE" w:rsidP="00BC0DEA">
      <w:pPr>
        <w:pStyle w:val="t-9-8"/>
        <w:jc w:val="center"/>
        <w:rPr>
          <w:b/>
        </w:rPr>
      </w:pPr>
    </w:p>
    <w:p w:rsidR="00BC0DEA" w:rsidRDefault="00BC0DEA" w:rsidP="00BC0DEA">
      <w:pPr>
        <w:pStyle w:val="t-9-8"/>
        <w:jc w:val="center"/>
        <w:rPr>
          <w:b/>
        </w:rPr>
      </w:pPr>
      <w:r>
        <w:rPr>
          <w:b/>
        </w:rPr>
        <w:lastRenderedPageBreak/>
        <w:t>VII</w:t>
      </w:r>
      <w:r w:rsidR="00D64FEE">
        <w:rPr>
          <w:b/>
        </w:rPr>
        <w:t>I</w:t>
      </w:r>
    </w:p>
    <w:p w:rsidR="00BC0DEA" w:rsidRDefault="00BC0DEA" w:rsidP="00BC0DEA">
      <w:pPr>
        <w:pStyle w:val="t-9-8"/>
        <w:jc w:val="both"/>
      </w:pPr>
      <w:r>
        <w:t>Uz cijenu vodnih usluga iskazuju se zasebno porez na dodanu vrijedn</w:t>
      </w:r>
      <w:r w:rsidR="00D64FEE">
        <w:t>ost, naknada za korištenje voda i</w:t>
      </w:r>
      <w:r>
        <w:t xml:space="preserve"> naknada za </w:t>
      </w:r>
      <w:r w:rsidR="00D64FEE">
        <w:t>zaštitu voda</w:t>
      </w:r>
      <w:r>
        <w:t xml:space="preserve">, sukladno posebnim propisima. </w:t>
      </w:r>
    </w:p>
    <w:p w:rsidR="00BC0DEA" w:rsidRDefault="00BC0DEA" w:rsidP="00BC0DEA">
      <w:pPr>
        <w:pStyle w:val="t-9-8"/>
        <w:jc w:val="center"/>
        <w:rPr>
          <w:b/>
        </w:rPr>
      </w:pPr>
      <w:r>
        <w:rPr>
          <w:b/>
        </w:rPr>
        <w:t>I</w:t>
      </w:r>
      <w:r w:rsidR="00D64FEE">
        <w:rPr>
          <w:b/>
        </w:rPr>
        <w:t>X</w:t>
      </w:r>
    </w:p>
    <w:p w:rsidR="00BC0DEA" w:rsidRDefault="00BC0DEA" w:rsidP="00BC0DEA">
      <w:pPr>
        <w:pStyle w:val="t-9-8"/>
        <w:jc w:val="both"/>
      </w:pPr>
      <w:r>
        <w:t xml:space="preserve">Ova Odluka je donesena uz prethodnu suglasnost </w:t>
      </w:r>
      <w:r w:rsidR="00CA2F1B">
        <w:t xml:space="preserve">načelnice </w:t>
      </w:r>
      <w:r w:rsidR="00AD3300">
        <w:t>O</w:t>
      </w:r>
      <w:bookmarkStart w:id="0" w:name="_GoBack"/>
      <w:bookmarkEnd w:id="0"/>
      <w:r w:rsidR="00CA2F1B">
        <w:t>pćine Gračac od 28.12.2015.</w:t>
      </w:r>
      <w:r w:rsidR="00634414">
        <w:t>g.</w:t>
      </w:r>
      <w:r w:rsidR="00CA2F1B">
        <w:t xml:space="preserve"> KLASA: 325-08/15-01/7</w:t>
      </w:r>
      <w:r w:rsidR="00C94783">
        <w:t>,</w:t>
      </w:r>
      <w:r w:rsidR="00634414">
        <w:t xml:space="preserve"> URBROJ: 2198/31-01-15-4.</w:t>
      </w:r>
    </w:p>
    <w:p w:rsidR="00BC0DEA" w:rsidRDefault="00BC0DEA" w:rsidP="00BC0DEA">
      <w:pPr>
        <w:pStyle w:val="t-9-8"/>
        <w:jc w:val="both"/>
        <w:rPr>
          <w:color w:val="000000"/>
        </w:rPr>
      </w:pPr>
      <w:r>
        <w:rPr>
          <w:color w:val="000000"/>
        </w:rPr>
        <w:t xml:space="preserve">Ova Odluka se dostavlja Vijeću za vodne usluge u roku do 5 dana po ishođenju prethodnih suglasnosti iz stavka 1. ove točke. </w:t>
      </w:r>
    </w:p>
    <w:p w:rsidR="00BC0DEA" w:rsidRDefault="00BC0DEA" w:rsidP="00BC0DEA">
      <w:pPr>
        <w:pStyle w:val="t-9-8"/>
        <w:jc w:val="center"/>
        <w:rPr>
          <w:b/>
        </w:rPr>
      </w:pPr>
      <w:r>
        <w:rPr>
          <w:b/>
        </w:rPr>
        <w:t>X</w:t>
      </w:r>
    </w:p>
    <w:p w:rsidR="00BC0DEA" w:rsidRDefault="00BC0DEA" w:rsidP="00BC0DEA">
      <w:pPr>
        <w:pStyle w:val="t-9-8"/>
        <w:jc w:val="both"/>
      </w:pPr>
      <w:r>
        <w:t xml:space="preserve">Ova Odluka se objavljuje na </w:t>
      </w:r>
      <w:proofErr w:type="spellStart"/>
      <w:r>
        <w:t>internet</w:t>
      </w:r>
      <w:proofErr w:type="spellEnd"/>
      <w:r>
        <w:t xml:space="preserve"> stranici isporučitelja vodne usluge.</w:t>
      </w:r>
    </w:p>
    <w:p w:rsidR="00BC0DEA" w:rsidRDefault="00BC0DEA" w:rsidP="00BC0DEA">
      <w:pPr>
        <w:pStyle w:val="t-9-8"/>
        <w:jc w:val="both"/>
      </w:pPr>
    </w:p>
    <w:p w:rsidR="00BC0DEA" w:rsidRDefault="00BC0DEA" w:rsidP="00BC0DEA">
      <w:pPr>
        <w:pStyle w:val="t-9-8"/>
        <w:jc w:val="center"/>
        <w:rPr>
          <w:b/>
        </w:rPr>
      </w:pPr>
      <w:r>
        <w:rPr>
          <w:b/>
        </w:rPr>
        <w:t>X</w:t>
      </w:r>
      <w:r w:rsidR="00D64FEE">
        <w:rPr>
          <w:b/>
        </w:rPr>
        <w:t>I</w:t>
      </w:r>
    </w:p>
    <w:p w:rsidR="00BC0DEA" w:rsidRDefault="00BC0DEA" w:rsidP="00BC0DEA">
      <w:pPr>
        <w:pStyle w:val="t-9-8"/>
      </w:pPr>
      <w:r>
        <w:t xml:space="preserve">Ova Odluka stupa na snagu dana </w:t>
      </w:r>
      <w:r w:rsidR="00CA2F1B">
        <w:t>01.01.2016.</w:t>
      </w:r>
      <w:r w:rsidR="00634414">
        <w:t>g.</w:t>
      </w:r>
    </w:p>
    <w:p w:rsidR="00BC0DEA" w:rsidRDefault="00BC0DEA" w:rsidP="00BC0DEA">
      <w:pPr>
        <w:pStyle w:val="t-9-8"/>
      </w:pPr>
      <w:r>
        <w:t>Stupanjem na snagu ove Odluke</w:t>
      </w:r>
      <w:r>
        <w:rPr>
          <w:b/>
        </w:rPr>
        <w:t xml:space="preserve"> </w:t>
      </w:r>
      <w:r>
        <w:t>prestaje važiti</w:t>
      </w:r>
      <w:r w:rsidR="00D64FEE">
        <w:t xml:space="preserve"> već postojeća Odluka o cijeni vodnih usluga od 16</w:t>
      </w:r>
      <w:r>
        <w:t>.</w:t>
      </w:r>
      <w:r w:rsidR="00D64FEE">
        <w:t xml:space="preserve"> lipnja 2014.g.</w:t>
      </w:r>
    </w:p>
    <w:p w:rsidR="00BC0DEA" w:rsidRDefault="00BC0DEA" w:rsidP="00BC0DEA">
      <w:pPr>
        <w:pStyle w:val="t-9-8"/>
      </w:pPr>
    </w:p>
    <w:p w:rsidR="00BC0DEA" w:rsidRDefault="00BC0DEA" w:rsidP="00BC0DEA">
      <w:pPr>
        <w:pStyle w:val="t-9-8"/>
      </w:pPr>
    </w:p>
    <w:p w:rsidR="00BC0DEA" w:rsidRDefault="00BC0DEA" w:rsidP="00BC0DEA">
      <w:pPr>
        <w:pStyle w:val="t-9-8"/>
      </w:pPr>
      <w:r>
        <w:t xml:space="preserve">U </w:t>
      </w:r>
      <w:r w:rsidR="00D64FEE">
        <w:t xml:space="preserve">Gračacu, </w:t>
      </w:r>
      <w:r>
        <w:t>dana</w:t>
      </w:r>
      <w:r w:rsidR="00D64FEE">
        <w:t xml:space="preserve"> 2</w:t>
      </w:r>
      <w:r w:rsidR="00CA2F1B">
        <w:t>9</w:t>
      </w:r>
      <w:r w:rsidR="00D64FEE">
        <w:t>.12.2015</w:t>
      </w:r>
      <w:r w:rsidR="00CA2F1B">
        <w:t>.</w:t>
      </w:r>
      <w:r w:rsidR="00C94783">
        <w:t>g.</w:t>
      </w:r>
      <w:r>
        <w:tab/>
      </w:r>
      <w:r>
        <w:tab/>
      </w:r>
      <w:r>
        <w:tab/>
      </w:r>
    </w:p>
    <w:p w:rsidR="00D64FEE" w:rsidRDefault="00D64FEE" w:rsidP="00BC0DEA">
      <w:pPr>
        <w:pStyle w:val="t-9-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 uprave – direktor</w:t>
      </w:r>
    </w:p>
    <w:p w:rsidR="00D64FEE" w:rsidRDefault="00D64FEE" w:rsidP="00BC0DEA">
      <w:pPr>
        <w:pStyle w:val="t-9-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Marko Gale</w:t>
      </w:r>
    </w:p>
    <w:p w:rsidR="00D64FEE" w:rsidRDefault="00D64FEE" w:rsidP="00BC0DEA">
      <w:pPr>
        <w:pStyle w:val="t-9-8"/>
        <w:jc w:val="center"/>
      </w:pPr>
    </w:p>
    <w:p w:rsidR="00D64FEE" w:rsidRDefault="00D64FEE" w:rsidP="00D64FEE">
      <w:pPr>
        <w:pStyle w:val="t-9-8"/>
      </w:pPr>
      <w:r>
        <w:t>Dostaviti:</w:t>
      </w:r>
    </w:p>
    <w:p w:rsidR="00D64FEE" w:rsidRDefault="00D64FEE" w:rsidP="00D64FEE">
      <w:pPr>
        <w:pStyle w:val="t-9-8"/>
        <w:numPr>
          <w:ilvl w:val="0"/>
          <w:numId w:val="1"/>
        </w:numPr>
      </w:pPr>
      <w:r>
        <w:t>Vijeću za vodne usluge</w:t>
      </w:r>
    </w:p>
    <w:p w:rsidR="00D64FEE" w:rsidRDefault="00D64FEE" w:rsidP="00D64FEE">
      <w:pPr>
        <w:pStyle w:val="t-9-8"/>
        <w:numPr>
          <w:ilvl w:val="0"/>
          <w:numId w:val="1"/>
        </w:numPr>
      </w:pPr>
      <w:r>
        <w:t>Pismohrana</w:t>
      </w:r>
    </w:p>
    <w:p w:rsidR="00D64FEE" w:rsidRPr="00D64FEE" w:rsidRDefault="00BC0DEA" w:rsidP="00D64FEE">
      <w:pPr>
        <w:pStyle w:val="t-9-8"/>
      </w:pPr>
      <w:r>
        <w:rPr>
          <w:i/>
          <w:color w:val="000000"/>
        </w:rPr>
        <w:t xml:space="preserve"> </w:t>
      </w:r>
    </w:p>
    <w:p w:rsidR="00FE5777" w:rsidRPr="00D64FEE" w:rsidRDefault="00FE5777" w:rsidP="00D64FEE">
      <w:pPr>
        <w:pStyle w:val="t-9-8"/>
        <w:jc w:val="both"/>
      </w:pPr>
    </w:p>
    <w:sectPr w:rsidR="00FE5777" w:rsidRPr="00D64FEE" w:rsidSect="00755B47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AC" w:rsidRDefault="000340AC" w:rsidP="007A28C1">
      <w:pPr>
        <w:spacing w:line="240" w:lineRule="auto"/>
      </w:pPr>
      <w:r>
        <w:separator/>
      </w:r>
    </w:p>
  </w:endnote>
  <w:endnote w:type="continuationSeparator" w:id="0">
    <w:p w:rsidR="000340AC" w:rsidRDefault="000340AC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AC" w:rsidRDefault="000340AC" w:rsidP="007A28C1">
      <w:pPr>
        <w:spacing w:line="240" w:lineRule="auto"/>
      </w:pPr>
      <w:r>
        <w:separator/>
      </w:r>
    </w:p>
  </w:footnote>
  <w:footnote w:type="continuationSeparator" w:id="0">
    <w:p w:rsidR="000340AC" w:rsidRDefault="000340AC" w:rsidP="007A2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A14"/>
    <w:multiLevelType w:val="hybridMultilevel"/>
    <w:tmpl w:val="8F88D3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340AC"/>
    <w:rsid w:val="00074C14"/>
    <w:rsid w:val="000817ED"/>
    <w:rsid w:val="000A6479"/>
    <w:rsid w:val="000A67D9"/>
    <w:rsid w:val="000B2D46"/>
    <w:rsid w:val="00136CB9"/>
    <w:rsid w:val="00250955"/>
    <w:rsid w:val="002E1353"/>
    <w:rsid w:val="00397B7C"/>
    <w:rsid w:val="003B313D"/>
    <w:rsid w:val="003E4273"/>
    <w:rsid w:val="00403E9D"/>
    <w:rsid w:val="00405C84"/>
    <w:rsid w:val="00473977"/>
    <w:rsid w:val="004A6BF2"/>
    <w:rsid w:val="004D2B88"/>
    <w:rsid w:val="00513F12"/>
    <w:rsid w:val="00555B8E"/>
    <w:rsid w:val="00583685"/>
    <w:rsid w:val="005D1C67"/>
    <w:rsid w:val="005F303B"/>
    <w:rsid w:val="00634414"/>
    <w:rsid w:val="006619CB"/>
    <w:rsid w:val="006979E1"/>
    <w:rsid w:val="006A4024"/>
    <w:rsid w:val="006C1FF6"/>
    <w:rsid w:val="006F514E"/>
    <w:rsid w:val="00721E55"/>
    <w:rsid w:val="007224F6"/>
    <w:rsid w:val="00737D15"/>
    <w:rsid w:val="00755B47"/>
    <w:rsid w:val="0076086E"/>
    <w:rsid w:val="00772E86"/>
    <w:rsid w:val="0077548F"/>
    <w:rsid w:val="00796312"/>
    <w:rsid w:val="007A28C1"/>
    <w:rsid w:val="007E434D"/>
    <w:rsid w:val="00831648"/>
    <w:rsid w:val="00833B17"/>
    <w:rsid w:val="00840D86"/>
    <w:rsid w:val="00851A12"/>
    <w:rsid w:val="00855B42"/>
    <w:rsid w:val="00932499"/>
    <w:rsid w:val="0098583C"/>
    <w:rsid w:val="009864B9"/>
    <w:rsid w:val="009F089C"/>
    <w:rsid w:val="00A45FA4"/>
    <w:rsid w:val="00AD3300"/>
    <w:rsid w:val="00B5608B"/>
    <w:rsid w:val="00B80539"/>
    <w:rsid w:val="00BC0DEA"/>
    <w:rsid w:val="00C04B38"/>
    <w:rsid w:val="00C676A4"/>
    <w:rsid w:val="00C94783"/>
    <w:rsid w:val="00CA2F1B"/>
    <w:rsid w:val="00CD7CD0"/>
    <w:rsid w:val="00CF0741"/>
    <w:rsid w:val="00D04BE5"/>
    <w:rsid w:val="00D10FFA"/>
    <w:rsid w:val="00D64FEE"/>
    <w:rsid w:val="00D84269"/>
    <w:rsid w:val="00DD389E"/>
    <w:rsid w:val="00DF20DB"/>
    <w:rsid w:val="00E37775"/>
    <w:rsid w:val="00E71EF9"/>
    <w:rsid w:val="00EC2242"/>
    <w:rsid w:val="00EE5100"/>
    <w:rsid w:val="00EF10F4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C0D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BC0DE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-9-8">
    <w:name w:val="t-9-8"/>
    <w:basedOn w:val="Normal"/>
    <w:rsid w:val="00BC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fusnote">
    <w:name w:val="footnote reference"/>
    <w:semiHidden/>
    <w:unhideWhenUsed/>
    <w:rsid w:val="00BC0DEA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sid w:val="00B805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  <w:style w:type="paragraph" w:styleId="Tekstfusnote">
    <w:name w:val="footnote text"/>
    <w:basedOn w:val="Normal"/>
    <w:link w:val="TekstfusnoteChar"/>
    <w:semiHidden/>
    <w:unhideWhenUsed/>
    <w:rsid w:val="00BC0DE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BC0DE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-9-8">
    <w:name w:val="t-9-8"/>
    <w:basedOn w:val="Normal"/>
    <w:rsid w:val="00BC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fusnote">
    <w:name w:val="footnote reference"/>
    <w:semiHidden/>
    <w:unhideWhenUsed/>
    <w:rsid w:val="00BC0DEA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sid w:val="00B8053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vodovod@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10</cp:revision>
  <cp:lastPrinted>2015-12-30T06:44:00Z</cp:lastPrinted>
  <dcterms:created xsi:type="dcterms:W3CDTF">2015-12-23T08:36:00Z</dcterms:created>
  <dcterms:modified xsi:type="dcterms:W3CDTF">2015-12-30T06:56:00Z</dcterms:modified>
</cp:coreProperties>
</file>